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/>
          <w:b/>
          <w:bCs/>
          <w:iCs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/>
          <w:bCs/>
          <w:iCs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/>
          <w:b/>
          <w:bCs/>
          <w:iCs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/>
          <w:bCs/>
          <w:iCs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Arial" w:hAnsi="Arial" w:eastAsiaTheme="minorHAnsi"/>
          <w:b/>
          <w:bCs/>
          <w:iCs/>
          <w:color w:val="00000A"/>
          <w:sz w:val="22"/>
          <w:szCs w:val="22"/>
          <w:lang w:val="it-IT" w:eastAsia="en-US" w:bidi="ar-SA"/>
        </w:rPr>
        <w:t>OGGETTO: AVVISO PUBBLICO PER LA RACCOLTA DI MANIFESTAZIONI DI INTERESSE DA PARTE DI PERSONE FISICHE E GIURIDICHE PER L'ASSEGNAZIONE E LA GESTIONE DEGLI ORTI URBANI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iCs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iCs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rial" w:hAnsi="Arial"/>
          <w:b/>
          <w:sz w:val="22"/>
          <w:szCs w:val="22"/>
        </w:rPr>
        <w:t>Premesso che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b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con Deliberazione del Consiglio Comunale n. 42 del 30/12/2020 è stato dato indirizzo politico ai Dirigenti, per rispettive competenze, di porre in essere le azioni per gestire e assegnare gli orti urbani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con stessa Deliberazione del Consiglio Comunale n. 42 del 30/12/2020 veniva approvato il Regolamento comunale che disciplina l'assegnazione e la gestione degli orti urbani;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cs="Times New Roman" w:ascii="Arial" w:hAnsi="Arial"/>
          <w:b/>
          <w:bCs/>
          <w:i w:val="false"/>
          <w:iCs w:val="false"/>
          <w:sz w:val="22"/>
          <w:szCs w:val="22"/>
        </w:rPr>
        <w:t>Rilevato che</w:t>
      </w:r>
    </w:p>
    <w:p>
      <w:pPr>
        <w:pStyle w:val="ListParagraph"/>
        <w:numPr>
          <w:ilvl w:val="0"/>
          <w:numId w:val="1"/>
        </w:numPr>
        <w:spacing w:lineRule="auto" w:line="240" w:before="114" w:after="114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il Comune di Salerno ha nella sua disponibilità degli appezzamenti di terreno che destina a orto sociale urbano da concedere, a fronte di un canone annuale, a persone fisiche e giuridiche con le modalità previste nel suddetto Regolamento comunale;</w:t>
      </w:r>
    </w:p>
    <w:p>
      <w:pPr>
        <w:pStyle w:val="ListParagraph"/>
        <w:numPr>
          <w:ilvl w:val="0"/>
          <w:numId w:val="1"/>
        </w:numPr>
        <w:spacing w:lineRule="auto" w:line="240" w:before="114" w:after="11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l'obiettivo è quello di recuperare e valorizzare il territorio al fine di ottenere un impatto positivo in termini ambientali, sociali, sanitari, economici e culturali;</w:t>
      </w:r>
    </w:p>
    <w:p>
      <w:pPr>
        <w:pStyle w:val="ListParagraph"/>
        <w:numPr>
          <w:ilvl w:val="0"/>
          <w:numId w:val="1"/>
        </w:numPr>
        <w:spacing w:lineRule="auto" w:line="240" w:before="114" w:after="114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con verbale del Settore Trasformazioni Urbanistiche prot. n. 11079 del 20/01/2021 si rende noto che è stato destinato a orto sociale urbano l'appezzamento di terreno sito nell'area del Comparto CR_21, </w:t>
      </w:r>
      <w:r>
        <w:rPr>
          <w:rFonts w:cs="Times New Roman" w:ascii="Arial" w:hAnsi="Arial"/>
          <w:sz w:val="22"/>
          <w:szCs w:val="22"/>
        </w:rPr>
        <w:t>con una superficie di 938 mq, suddivisa in 15 appezzamenti di simili dimensioni,</w:t>
      </w:r>
      <w:r>
        <w:rPr>
          <w:rFonts w:cs="Times New Roman" w:ascii="Arial" w:hAnsi="Arial"/>
          <w:sz w:val="22"/>
          <w:szCs w:val="22"/>
        </w:rPr>
        <w:t>che poi è stato sottoposto a collaudi e consegnato al competente Ufficio Comunale;</w:t>
      </w:r>
    </w:p>
    <w:p>
      <w:pPr>
        <w:pStyle w:val="ListParagraph"/>
        <w:numPr>
          <w:ilvl w:val="0"/>
          <w:numId w:val="1"/>
        </w:numPr>
        <w:spacing w:lineRule="auto" w:line="240" w:before="114" w:after="114"/>
        <w:contextualSpacing/>
        <w:jc w:val="both"/>
        <w:rPr/>
      </w:pPr>
      <w:r>
        <w:rPr>
          <w:rFonts w:cs="" w:ascii="Arial" w:hAnsi="Arial" w:cstheme="minorBidi"/>
          <w:sz w:val="22"/>
          <w:szCs w:val="22"/>
        </w:rPr>
        <w:t xml:space="preserve">l'atto unico di collaudo dell'area del Comparto CR_21 era stato già approvato con determinazione n. 1328/2017; </w:t>
      </w:r>
    </w:p>
    <w:p>
      <w:pPr>
        <w:pStyle w:val="Normal"/>
        <w:suppressAutoHyphens w:val="false"/>
        <w:jc w:val="both"/>
        <w:rPr>
          <w:rFonts w:ascii="Arial" w:hAnsi="Arial" w:eastAsia="Calibri" w:cs="Times New Roman" w:eastAsiaTheme="minorHAnsi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uppressAutoHyphens w:val="false"/>
        <w:jc w:val="both"/>
        <w:rPr/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Precisato che: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>
          <w:rFonts w:eastAsia="Calibri" w:cs="Times New Roman" w:ascii="Arial" w:hAnsi="Arial" w:eastAsiaTheme="minorHAnsi"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oggetto dell'avviso pubblico è la raccolta di manifestazioni di interesse da parte di persone fisiche e giuridiche per l'assegnazione e la gestione degli orti urbani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Arial" w:hAnsi="Arial"/>
          <w:b/>
          <w:sz w:val="22"/>
          <w:szCs w:val="22"/>
        </w:rPr>
        <w:t>Visti: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lo Statuto dell’Ente;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il Regolamento di Contabilità dell’Ente;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il Testo Unico degli Enti Locali 267/00 ed in particolare gli artt.107, 169 e 184 del D.Lgs. 267/00;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la Legge 136/2010 in materia di tracciabilità dei flussi finanziari;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Calibri" w:cs="Times New Roman" w:ascii="Arial" w:hAnsi="Arial" w:eastAsiaTheme="minorHAnsi"/>
          <w:b w:val="false"/>
          <w:bCs w:val="false"/>
          <w:color w:val="00000A"/>
          <w:sz w:val="22"/>
          <w:szCs w:val="22"/>
          <w:lang w:val="it-IT" w:eastAsia="en-US" w:bidi="ar-SA"/>
        </w:rPr>
        <w:t>il Piano Sociale di Zona S5 come approvato dalla Regione Campania;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il Reg. UE 679/2016.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Ritenuto 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dover indire apposita manifestazione di interesse per individuare persone fisiche e giuridiche per l'assegnazione e la gestione degli orti urbani.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Visto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 l'avviso pubblico, allegato alla presente e parte integrante e sostanziale;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Dato atto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 che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- a seguito della presentazione delle domande di assegnazione da parte dei soggetti interessati, verrà costituita apposita commissione;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- a seguito della valutazione delle domande da parte della commissione, verrà costituita una graduatoria a punteggio secondo i criteri indicati all’art. 4 del suindicato Regolamento;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Standard"/>
        <w:jc w:val="both"/>
        <w:rPr/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Ritenuto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 di dover provvedere in merito.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Dato atto</w:t>
      </w: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 che con la firma della presente determinazione, si attesta la regolarità tecnica amministrativa del presente provvedimento ai sensi dell’art.147/bis del D.Lgs n. 267/00, come modificato ed integrato dalla Legge 213/2012.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Times New Roman" w:eastAsiaTheme="minorHAnsi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Calibri" w:cs="Times New Roman" w:ascii="Arial" w:hAnsi="Arial" w:eastAsiaTheme="minorHAnsi"/>
          <w:b/>
          <w:bCs/>
          <w:i w:val="false"/>
          <w:iCs w:val="false"/>
          <w:color w:val="00000A"/>
          <w:sz w:val="22"/>
          <w:szCs w:val="22"/>
          <w:lang w:val="it-IT" w:eastAsia="en-US" w:bidi="ar-SA"/>
        </w:rPr>
        <w:t>DETERMINA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Per i motivi espressi in narrativa, che qui si intendono integralmente riportati: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indire un avviso pubblico per la raccolta di manifestazioni di interesse da parte di persone fisiche e giuridiche per l'assegnazione e la gestione degli orti urbani;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Standard"/>
        <w:numPr>
          <w:ilvl w:val="0"/>
          <w:numId w:val="5"/>
        </w:numPr>
        <w:jc w:val="both"/>
        <w:rPr>
          <w:rFonts w:eastAsia="Calibri" w:eastAsiaTheme="minorHAnsi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approvare l'avviso pubblico, allegato al presente provvedimento e di cui forma parte integrante e sostanziale;</w:t>
      </w:r>
    </w:p>
    <w:p>
      <w:pPr>
        <w:pStyle w:val="Standard"/>
        <w:numPr>
          <w:ilvl w:val="0"/>
          <w:numId w:val="0"/>
        </w:numPr>
        <w:jc w:val="both"/>
        <w:rPr>
          <w:rFonts w:ascii="Arial" w:hAnsi="Arial" w:eastAsia="Calibri" w:cs="Times New Roman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numPr>
          <w:ilvl w:val="0"/>
          <w:numId w:val="5"/>
        </w:numPr>
        <w:jc w:val="both"/>
        <w:rPr>
          <w:rFonts w:eastAsia="Calibri" w:eastAsiaTheme="minorHAnsi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stabilire che l'avviso sarà pubblicato in data 07/05/2021 sul sito del Comune di Salerno, all'albo pretorio online, fissando al giorno 24/05/2021 alle ore 12:00 il termine di presentazione delle manifestazioni di interesse da parte dei partecipanti;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 xml:space="preserve">di stabilire altresì che le manifestazioni di interesse dovranno pervenire a mano, presso l’Ufficio protocollo del Comune di Salerno – Settore Politiche Sociali, sito in via La Carnale, 8 - Salerno, nelle ore in cui l'ufficio è aperto al pubblico o a mezzo PEC all'indirizzo </w:t>
      </w:r>
      <w:hyperlink r:id="rId2">
        <w:r>
          <w:rPr>
            <w:rStyle w:val="CollegamentoInternet"/>
            <w:rFonts w:eastAsia="Calibri" w:cs="Times New Roman" w:ascii="Arial" w:hAnsi="Arial" w:eastAsiaTheme="minorHAnsi"/>
            <w:b w:val="false"/>
            <w:bCs w:val="false"/>
            <w:i w:val="false"/>
            <w:iCs w:val="false"/>
            <w:color w:val="00000A"/>
            <w:sz w:val="22"/>
            <w:szCs w:val="22"/>
            <w:lang w:val="it-IT" w:eastAsia="en-US" w:bidi="ar-SA"/>
          </w:rPr>
          <w:t>protocollo@pec.comune.salerno.it</w:t>
        </w:r>
      </w:hyperlink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;</w:t>
      </w:r>
    </w:p>
    <w:p>
      <w:pPr>
        <w:pStyle w:val="Paragrafoelenco"/>
        <w:numPr>
          <w:ilvl w:val="0"/>
          <w:numId w:val="5"/>
        </w:numPr>
        <w:suppressAutoHyphens w:val="false"/>
        <w:jc w:val="both"/>
        <w:rPr>
          <w:rFonts w:eastAsia="Calibri" w:eastAsiaTheme="minorHAnsi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dare atto che le manifestazioni di interesse pervenute nei termini stabiliti saranno valutate con apposita commissione;</w:t>
      </w:r>
    </w:p>
    <w:p>
      <w:pPr>
        <w:pStyle w:val="Paragrafoelenco"/>
        <w:numPr>
          <w:ilvl w:val="0"/>
          <w:numId w:val="0"/>
        </w:numPr>
        <w:suppressAutoHyphens w:val="false"/>
        <w:ind w:left="720" w:hanging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Paragrafoelenco"/>
        <w:numPr>
          <w:ilvl w:val="0"/>
          <w:numId w:val="5"/>
        </w:numPr>
        <w:suppressAutoHyphens w:val="false"/>
        <w:jc w:val="both"/>
        <w:rPr>
          <w:rFonts w:eastAsia="Calibri" w:eastAsiaTheme="minorHAnsi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dare altresì atto che a seguito della valutazione delle domande da parte della commissione, verrà costituita una graduatoria a punteggio secondo i criteri indicati all’art. 4 del suindicato Regolamento;</w:t>
      </w:r>
    </w:p>
    <w:p>
      <w:pPr>
        <w:pStyle w:val="Paragrafoelenco"/>
        <w:suppressAutoHyphens w:val="false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Paragrafoelenco"/>
        <w:numPr>
          <w:ilvl w:val="0"/>
          <w:numId w:val="5"/>
        </w:numPr>
        <w:suppressAutoHyphens w:val="false"/>
        <w:jc w:val="both"/>
        <w:rPr/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individuare nel dott. Antonio Giunto il Responsabile del procedimento per tutti gli atti consequenziali alla presente determinazione;</w:t>
      </w:r>
    </w:p>
    <w:p>
      <w:pPr>
        <w:pStyle w:val="Paragrafoelenco"/>
        <w:numPr>
          <w:ilvl w:val="0"/>
          <w:numId w:val="0"/>
        </w:numPr>
        <w:suppressAutoHyphens w:val="false"/>
        <w:ind w:left="720" w:hanging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lang w:val="it-IT" w:eastAsia="en-US" w:bidi="ar-SA"/>
        </w:rPr>
      </w:r>
    </w:p>
    <w:p>
      <w:pPr>
        <w:pStyle w:val="Paragrafoelenco"/>
        <w:numPr>
          <w:ilvl w:val="0"/>
          <w:numId w:val="5"/>
        </w:numPr>
        <w:suppressAutoHyphens w:val="false"/>
        <w:jc w:val="both"/>
        <w:rPr>
          <w:sz w:val="22"/>
          <w:szCs w:val="22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prendere atto che il presente atto non comporta impegno di spesa;</w:t>
      </w:r>
    </w:p>
    <w:p>
      <w:pPr>
        <w:pStyle w:val="Paragrafoelenco"/>
        <w:numPr>
          <w:ilvl w:val="0"/>
          <w:numId w:val="0"/>
        </w:numPr>
        <w:suppressAutoHyphens w:val="false"/>
        <w:ind w:left="720" w:hanging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lang w:val="it-IT" w:eastAsia="en-US" w:bidi="ar-SA"/>
        </w:rPr>
      </w:r>
    </w:p>
    <w:p>
      <w:pPr>
        <w:pStyle w:val="Paragrafoelenco"/>
        <w:numPr>
          <w:ilvl w:val="0"/>
          <w:numId w:val="5"/>
        </w:numPr>
        <w:suppressAutoHyphens w:val="false"/>
        <w:jc w:val="both"/>
        <w:rPr>
          <w:sz w:val="22"/>
          <w:szCs w:val="22"/>
        </w:rPr>
      </w:pPr>
      <w:r>
        <w:rPr>
          <w:rFonts w:eastAsia="Calibri" w:cs="Times New Roman" w:ascii="Arial" w:hAnsi="Arial" w:eastAsiaTheme="minorHAnsi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  <w:t>di inviare copia della presente determinazione al Settore Ragioneria per gli adempimenti di competenza.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Arial" w:hAnsi="Arial"/>
          <w:b w:val="false"/>
          <w:bCs w:val="false"/>
          <w:i w:val="false"/>
          <w:iCs w:val="false"/>
          <w:color w:val="00000A"/>
          <w:sz w:val="22"/>
          <w:szCs w:val="22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112395" distR="114300" simplePos="0" locked="0" layoutInCell="1" allowOverlap="1" relativeHeight="3" wp14:anchorId="1B597DBD">
              <wp:simplePos x="0" y="0"/>
              <wp:positionH relativeFrom="column">
                <wp:align>left</wp:align>
              </wp:positionH>
              <wp:positionV relativeFrom="page">
                <wp:posOffset>10022205</wp:posOffset>
              </wp:positionV>
              <wp:extent cx="374015" cy="280035"/>
              <wp:effectExtent l="9525" t="9525" r="12700" b="11430"/>
              <wp:wrapNone/>
              <wp:docPr id="2" name="Form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20" cy="27936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975322843"/>
                          </w:sdtPr>
                          <w:sdtContent>
                            <w:p>
                              <w:pPr>
                                <w:pStyle w:val="Contenutocornice"/>
                                <w:spacing w:before="0" w:after="1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instrText> PAGE 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Forma 1" fillcolor="white" stroked="t" style="position:absolute;margin-left:9.6pt;margin-top:789.15pt;width:29.35pt;height:21.95pt;mso-position-horizontal:left;mso-position-vertical-relative:page" wp14:anchorId="1B597DBD" type="shapetype_65">
              <w10:wrap type="square"/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940895581"/>
                    </w:sdtPr>
                    <w:sdtContent>
                      <w:p>
                        <w:pPr>
                          <w:pStyle w:val="Contenutocornice"/>
                          <w:spacing w:before="0" w:after="1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instrText> PAGE 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left" w:pos="0" w:leader="none"/>
      </w:tabs>
      <w:spacing w:before="120" w:after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2232660</wp:posOffset>
          </wp:positionH>
          <wp:positionV relativeFrom="paragraph">
            <wp:posOffset>-344805</wp:posOffset>
          </wp:positionV>
          <wp:extent cx="1522095" cy="1522095"/>
          <wp:effectExtent l="0" t="0" r="0" b="0"/>
          <wp:wrapTopAndBottom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52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tabs>
        <w:tab w:val="left" w:pos="0" w:leader="none"/>
      </w:tabs>
      <w:spacing w:before="120" w:after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Standard"/>
      <w:tabs>
        <w:tab w:val="left" w:pos="0" w:leader="none"/>
      </w:tabs>
      <w:spacing w:before="120" w:after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Standard"/>
      <w:tabs>
        <w:tab w:val="left" w:pos="0" w:leader="none"/>
      </w:tabs>
      <w:spacing w:before="120" w:after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Standard"/>
      <w:tabs>
        <w:tab w:val="left" w:pos="0" w:leader="none"/>
      </w:tabs>
      <w:spacing w:before="120" w:after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 xml:space="preserve">Determinazione Dirigenziale </w:t>
    </w:r>
  </w:p>
  <w:p>
    <w:pPr>
      <w:pStyle w:val="Standard"/>
      <w:tabs>
        <w:tab w:val="left" w:pos="0" w:leader="none"/>
      </w:tabs>
      <w:jc w:val="center"/>
      <w:rPr/>
    </w:pPr>
    <w:r>
      <w:rPr>
        <w:b/>
        <w:sz w:val="24"/>
        <w:szCs w:val="24"/>
      </w:rPr>
      <w:t xml:space="preserve">SETTORE </w:t>
    </w:r>
    <w:r>
      <w:rPr>
        <w:b/>
        <w:sz w:val="24"/>
        <w:szCs w:val="24"/>
        <w:lang w:eastAsia="it-IT"/>
      </w:rPr>
      <w:t xml:space="preserve">POLITICHE SOCIALI </w:t>
    </w:r>
    <w:r>
      <w:rPr>
        <w:lang w:eastAsia="it-IT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bCs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  <w:rFonts w:cs="Open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b6df5"/>
    <w:rPr>
      <w:color w:val="0563C1" w:themeColor="hyperlink"/>
      <w:u w:val="single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f103d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8724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8724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8724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Times New Roman" w:hAnsi="Times New Roman"/>
      <w:b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ascii="Times New Roman" w:hAnsi="Times New Roman"/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Wingdings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Wingdings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/>
      <w:b/>
    </w:rPr>
  </w:style>
  <w:style w:type="character" w:styleId="ListLabel119">
    <w:name w:val="ListLabel 119"/>
    <w:qFormat/>
    <w:rPr>
      <w:rFonts w:ascii="Times New Roman" w:hAnsi="Times New Roman"/>
      <w:b/>
    </w:rPr>
  </w:style>
  <w:style w:type="character" w:styleId="ListLabel120">
    <w:name w:val="ListLabel 120"/>
    <w:qFormat/>
    <w:rPr>
      <w:rFonts w:ascii="Times New Roman" w:hAnsi="Times New Roman" w:cs="Symbol"/>
      <w:b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Punti">
    <w:name w:val="Punti"/>
    <w:qFormat/>
    <w:rPr>
      <w:rFonts w:ascii="Arial" w:hAnsi="Arial" w:eastAsia="OpenSymbol" w:cs="OpenSymbol"/>
      <w:b/>
      <w:bCs/>
    </w:rPr>
  </w:style>
  <w:style w:type="character" w:styleId="Caratteredinumerazione">
    <w:name w:val="Carattere di numerazione"/>
    <w:qFormat/>
    <w:rPr/>
  </w:style>
  <w:style w:type="character" w:styleId="ListLabel129">
    <w:name w:val="ListLabel 129"/>
    <w:qFormat/>
    <w:rPr>
      <w:rFonts w:ascii="Arial" w:hAnsi="Arial" w:cs="OpenSymbol"/>
      <w:sz w:val="22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ascii="Arial" w:hAnsi="Arial" w:cs="OpenSymbol"/>
      <w:sz w:val="22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ascii="Arial" w:hAnsi="Arial" w:cs="OpenSymbol"/>
      <w:sz w:val="22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ascii="Arial" w:hAnsi="Arial" w:cs="OpenSymbol"/>
      <w:sz w:val="22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highlight w:val="yellow"/>
      <w:lang w:eastAsia="it-IT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Enfasiforte">
    <w:name w:val="Enfasi forte"/>
    <w:basedOn w:val="Carpredefinitoparagrafo"/>
    <w:qFormat/>
    <w:rPr>
      <w:b/>
      <w:bCs/>
    </w:rPr>
  </w:style>
  <w:style w:type="character" w:styleId="WW8Num37z0">
    <w:name w:val="WW8Num37z0"/>
    <w:qFormat/>
    <w:rPr>
      <w:sz w:val="24"/>
      <w:szCs w:val="24"/>
      <w:highlight w:val="yellow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4z0">
    <w:name w:val="WW8Num4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0z0">
    <w:name w:val="WW8Num10z0"/>
    <w:qFormat/>
    <w:rPr>
      <w:rFonts w:ascii="Wingdings" w:hAnsi="Wingdings" w:cs="Wingdings"/>
      <w:color w:val="000000"/>
      <w:sz w:val="24"/>
      <w:szCs w:val="24"/>
      <w:highlight w:val="yello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ListLabel165">
    <w:name w:val="ListLabel 165"/>
    <w:qFormat/>
    <w:rPr>
      <w:rFonts w:ascii="Arial" w:hAnsi="Arial" w:cs="OpenSymbol"/>
      <w:sz w:val="22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  <w:b w:val="false"/>
      <w:bCs/>
    </w:rPr>
  </w:style>
  <w:style w:type="character" w:styleId="ListLabel175">
    <w:name w:val="ListLabel 175"/>
    <w:qFormat/>
    <w:rPr>
      <w:rFonts w:cs="OpenSymbol"/>
      <w:b/>
      <w:bCs/>
    </w:rPr>
  </w:style>
  <w:style w:type="character" w:styleId="ListLabel176">
    <w:name w:val="ListLabel 176"/>
    <w:qFormat/>
    <w:rPr>
      <w:rFonts w:cs="OpenSymbol"/>
      <w:b/>
      <w:bCs/>
    </w:rPr>
  </w:style>
  <w:style w:type="character" w:styleId="ListLabel177">
    <w:name w:val="ListLabel 177"/>
    <w:qFormat/>
    <w:rPr>
      <w:rFonts w:cs="OpenSymbol"/>
      <w:b/>
      <w:bCs/>
    </w:rPr>
  </w:style>
  <w:style w:type="character" w:styleId="ListLabel178">
    <w:name w:val="ListLabel 178"/>
    <w:qFormat/>
    <w:rPr>
      <w:rFonts w:cs="OpenSymbol"/>
      <w:b/>
      <w:bCs/>
    </w:rPr>
  </w:style>
  <w:style w:type="character" w:styleId="ListLabel179">
    <w:name w:val="ListLabel 179"/>
    <w:qFormat/>
    <w:rPr>
      <w:rFonts w:cs="OpenSymbol"/>
      <w:b/>
      <w:bCs/>
    </w:rPr>
  </w:style>
  <w:style w:type="character" w:styleId="ListLabel180">
    <w:name w:val="ListLabel 180"/>
    <w:qFormat/>
    <w:rPr>
      <w:rFonts w:cs="OpenSymbol"/>
      <w:b/>
      <w:bCs/>
    </w:rPr>
  </w:style>
  <w:style w:type="character" w:styleId="ListLabel181">
    <w:name w:val="ListLabel 181"/>
    <w:qFormat/>
    <w:rPr>
      <w:rFonts w:cs="OpenSymbol"/>
      <w:b/>
      <w:bCs/>
    </w:rPr>
  </w:style>
  <w:style w:type="character" w:styleId="ListLabel182">
    <w:name w:val="ListLabel 182"/>
    <w:qFormat/>
    <w:rPr>
      <w:rFonts w:cs="OpenSymbol"/>
      <w:b/>
      <w:bCs/>
    </w:rPr>
  </w:style>
  <w:style w:type="character" w:styleId="ListLabel183">
    <w:name w:val="ListLabel 183"/>
    <w:qFormat/>
    <w:rPr>
      <w:rFonts w:cs="OpenSymbol"/>
      <w:b/>
      <w:bCs/>
    </w:rPr>
  </w:style>
  <w:style w:type="character" w:styleId="ListLabel184">
    <w:name w:val="ListLabel 184"/>
    <w:qFormat/>
    <w:rPr>
      <w:rFonts w:cs="OpenSymbol"/>
      <w:b/>
      <w:bCs/>
    </w:rPr>
  </w:style>
  <w:style w:type="character" w:styleId="ListLabel185">
    <w:name w:val="ListLabel 185"/>
    <w:qFormat/>
    <w:rPr>
      <w:rFonts w:cs="OpenSymbol"/>
      <w:b/>
      <w:bCs/>
    </w:rPr>
  </w:style>
  <w:style w:type="character" w:styleId="ListLabel186">
    <w:name w:val="ListLabel 186"/>
    <w:qFormat/>
    <w:rPr>
      <w:rFonts w:cs="OpenSymbol"/>
      <w:b/>
      <w:bCs/>
    </w:rPr>
  </w:style>
  <w:style w:type="character" w:styleId="ListLabel187">
    <w:name w:val="ListLabel 187"/>
    <w:qFormat/>
    <w:rPr>
      <w:rFonts w:cs="OpenSymbol"/>
      <w:b/>
      <w:bCs/>
    </w:rPr>
  </w:style>
  <w:style w:type="character" w:styleId="ListLabel188">
    <w:name w:val="ListLabel 188"/>
    <w:qFormat/>
    <w:rPr>
      <w:rFonts w:cs="OpenSymbol"/>
      <w:b/>
      <w:bCs/>
    </w:rPr>
  </w:style>
  <w:style w:type="character" w:styleId="ListLabel189">
    <w:name w:val="ListLabel 189"/>
    <w:qFormat/>
    <w:rPr>
      <w:rFonts w:cs="OpenSymbol"/>
      <w:b/>
      <w:bCs/>
    </w:rPr>
  </w:style>
  <w:style w:type="character" w:styleId="ListLabel190">
    <w:name w:val="ListLabel 190"/>
    <w:qFormat/>
    <w:rPr>
      <w:rFonts w:cs="OpenSymbol"/>
      <w:b/>
      <w:bCs/>
    </w:rPr>
  </w:style>
  <w:style w:type="character" w:styleId="ListLabel191">
    <w:name w:val="ListLabel 191"/>
    <w:qFormat/>
    <w:rPr>
      <w:rFonts w:cs="OpenSymbol"/>
      <w:b/>
      <w:bCs/>
    </w:rPr>
  </w:style>
  <w:style w:type="character" w:styleId="ListLabel192">
    <w:name w:val="ListLabel 192"/>
    <w:qFormat/>
    <w:rPr>
      <w:rFonts w:ascii="Arial" w:hAnsi="Arial" w:cs="OpenSymbol"/>
      <w:b w:val="false"/>
      <w:bCs/>
      <w:sz w:val="22"/>
    </w:rPr>
  </w:style>
  <w:style w:type="character" w:styleId="ListLabel193">
    <w:name w:val="ListLabel 193"/>
    <w:qFormat/>
    <w:rPr>
      <w:rFonts w:cs="OpenSymbol"/>
      <w:b/>
      <w:bCs/>
    </w:rPr>
  </w:style>
  <w:style w:type="character" w:styleId="ListLabel194">
    <w:name w:val="ListLabel 194"/>
    <w:qFormat/>
    <w:rPr>
      <w:rFonts w:cs="OpenSymbol"/>
      <w:b/>
      <w:bCs/>
    </w:rPr>
  </w:style>
  <w:style w:type="character" w:styleId="ListLabel195">
    <w:name w:val="ListLabel 195"/>
    <w:qFormat/>
    <w:rPr>
      <w:rFonts w:cs="OpenSymbol"/>
      <w:b/>
      <w:bCs/>
    </w:rPr>
  </w:style>
  <w:style w:type="character" w:styleId="ListLabel196">
    <w:name w:val="ListLabel 196"/>
    <w:qFormat/>
    <w:rPr>
      <w:rFonts w:cs="OpenSymbol"/>
      <w:b/>
      <w:bCs/>
    </w:rPr>
  </w:style>
  <w:style w:type="character" w:styleId="ListLabel197">
    <w:name w:val="ListLabel 197"/>
    <w:qFormat/>
    <w:rPr>
      <w:rFonts w:cs="OpenSymbol"/>
      <w:b/>
      <w:bCs/>
    </w:rPr>
  </w:style>
  <w:style w:type="character" w:styleId="ListLabel198">
    <w:name w:val="ListLabel 198"/>
    <w:qFormat/>
    <w:rPr>
      <w:rFonts w:cs="OpenSymbol"/>
      <w:b/>
      <w:bCs/>
    </w:rPr>
  </w:style>
  <w:style w:type="character" w:styleId="ListLabel199">
    <w:name w:val="ListLabel 199"/>
    <w:qFormat/>
    <w:rPr>
      <w:rFonts w:cs="OpenSymbol"/>
      <w:b/>
      <w:bCs/>
    </w:rPr>
  </w:style>
  <w:style w:type="character" w:styleId="ListLabel200">
    <w:name w:val="ListLabel 200"/>
    <w:qFormat/>
    <w:rPr>
      <w:rFonts w:cs="OpenSymbol"/>
      <w:b/>
      <w:bCs/>
    </w:rPr>
  </w:style>
  <w:style w:type="character" w:styleId="ListLabel201">
    <w:name w:val="ListLabel 201"/>
    <w:qFormat/>
    <w:rPr>
      <w:rFonts w:ascii="Arial" w:hAnsi="Arial" w:cs="OpenSymbol"/>
      <w:sz w:val="22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  <w:b w:val="false"/>
      <w:bCs/>
    </w:rPr>
  </w:style>
  <w:style w:type="character" w:styleId="ListLabel211">
    <w:name w:val="ListLabel 211"/>
    <w:qFormat/>
    <w:rPr>
      <w:rFonts w:cs="OpenSymbol"/>
      <w:b/>
      <w:bCs/>
    </w:rPr>
  </w:style>
  <w:style w:type="character" w:styleId="ListLabel212">
    <w:name w:val="ListLabel 212"/>
    <w:qFormat/>
    <w:rPr>
      <w:rFonts w:cs="OpenSymbol"/>
      <w:b/>
      <w:bCs/>
    </w:rPr>
  </w:style>
  <w:style w:type="character" w:styleId="ListLabel213">
    <w:name w:val="ListLabel 213"/>
    <w:qFormat/>
    <w:rPr>
      <w:rFonts w:cs="OpenSymbol"/>
      <w:b/>
      <w:bCs/>
    </w:rPr>
  </w:style>
  <w:style w:type="character" w:styleId="ListLabel214">
    <w:name w:val="ListLabel 214"/>
    <w:qFormat/>
    <w:rPr>
      <w:rFonts w:cs="OpenSymbol"/>
      <w:b/>
      <w:bCs/>
    </w:rPr>
  </w:style>
  <w:style w:type="character" w:styleId="ListLabel215">
    <w:name w:val="ListLabel 215"/>
    <w:qFormat/>
    <w:rPr>
      <w:rFonts w:cs="OpenSymbol"/>
      <w:b/>
      <w:bCs/>
    </w:rPr>
  </w:style>
  <w:style w:type="character" w:styleId="ListLabel216">
    <w:name w:val="ListLabel 216"/>
    <w:qFormat/>
    <w:rPr>
      <w:rFonts w:cs="OpenSymbol"/>
      <w:b/>
      <w:bCs/>
    </w:rPr>
  </w:style>
  <w:style w:type="character" w:styleId="ListLabel217">
    <w:name w:val="ListLabel 217"/>
    <w:qFormat/>
    <w:rPr>
      <w:rFonts w:cs="OpenSymbol"/>
      <w:b/>
      <w:bCs/>
    </w:rPr>
  </w:style>
  <w:style w:type="character" w:styleId="ListLabel218">
    <w:name w:val="ListLabel 218"/>
    <w:qFormat/>
    <w:rPr>
      <w:rFonts w:cs="OpenSymbol"/>
      <w:b/>
      <w:bCs/>
    </w:rPr>
  </w:style>
  <w:style w:type="character" w:styleId="ListLabel219">
    <w:name w:val="ListLabel 219"/>
    <w:qFormat/>
    <w:rPr>
      <w:rFonts w:cs="OpenSymbol"/>
      <w:b/>
      <w:bCs/>
    </w:rPr>
  </w:style>
  <w:style w:type="character" w:styleId="ListLabel220">
    <w:name w:val="ListLabel 220"/>
    <w:qFormat/>
    <w:rPr>
      <w:rFonts w:cs="OpenSymbol"/>
      <w:b/>
      <w:bCs/>
    </w:rPr>
  </w:style>
  <w:style w:type="character" w:styleId="ListLabel221">
    <w:name w:val="ListLabel 221"/>
    <w:qFormat/>
    <w:rPr>
      <w:rFonts w:cs="OpenSymbol"/>
      <w:b/>
      <w:bCs/>
    </w:rPr>
  </w:style>
  <w:style w:type="character" w:styleId="ListLabel222">
    <w:name w:val="ListLabel 222"/>
    <w:qFormat/>
    <w:rPr>
      <w:rFonts w:cs="OpenSymbol"/>
      <w:b/>
      <w:bCs/>
    </w:rPr>
  </w:style>
  <w:style w:type="character" w:styleId="ListLabel223">
    <w:name w:val="ListLabel 223"/>
    <w:qFormat/>
    <w:rPr>
      <w:rFonts w:cs="OpenSymbol"/>
      <w:b/>
      <w:bCs/>
    </w:rPr>
  </w:style>
  <w:style w:type="character" w:styleId="ListLabel224">
    <w:name w:val="ListLabel 224"/>
    <w:qFormat/>
    <w:rPr>
      <w:rFonts w:cs="OpenSymbol"/>
      <w:b/>
      <w:bCs/>
    </w:rPr>
  </w:style>
  <w:style w:type="character" w:styleId="ListLabel225">
    <w:name w:val="ListLabel 225"/>
    <w:qFormat/>
    <w:rPr>
      <w:rFonts w:cs="OpenSymbol"/>
      <w:b/>
      <w:bCs/>
    </w:rPr>
  </w:style>
  <w:style w:type="character" w:styleId="ListLabel226">
    <w:name w:val="ListLabel 226"/>
    <w:qFormat/>
    <w:rPr>
      <w:rFonts w:cs="OpenSymbol"/>
      <w:b/>
      <w:bCs/>
    </w:rPr>
  </w:style>
  <w:style w:type="character" w:styleId="ListLabel227">
    <w:name w:val="ListLabel 227"/>
    <w:qFormat/>
    <w:rPr>
      <w:rFonts w:cs="OpenSymbol"/>
      <w:b/>
      <w:bCs/>
    </w:rPr>
  </w:style>
  <w:style w:type="character" w:styleId="ListLabel228">
    <w:name w:val="ListLabel 228"/>
    <w:qFormat/>
    <w:rPr>
      <w:rFonts w:ascii="Arial" w:hAnsi="Arial" w:cs="OpenSymbol"/>
      <w:b w:val="false"/>
      <w:bCs/>
      <w:sz w:val="22"/>
    </w:rPr>
  </w:style>
  <w:style w:type="character" w:styleId="ListLabel229">
    <w:name w:val="ListLabel 229"/>
    <w:qFormat/>
    <w:rPr>
      <w:rFonts w:cs="OpenSymbol"/>
      <w:b/>
      <w:bCs/>
    </w:rPr>
  </w:style>
  <w:style w:type="character" w:styleId="ListLabel230">
    <w:name w:val="ListLabel 230"/>
    <w:qFormat/>
    <w:rPr>
      <w:rFonts w:cs="OpenSymbol"/>
      <w:b/>
      <w:bCs/>
    </w:rPr>
  </w:style>
  <w:style w:type="character" w:styleId="ListLabel231">
    <w:name w:val="ListLabel 231"/>
    <w:qFormat/>
    <w:rPr>
      <w:rFonts w:cs="OpenSymbol"/>
      <w:b/>
      <w:bCs/>
    </w:rPr>
  </w:style>
  <w:style w:type="character" w:styleId="ListLabel232">
    <w:name w:val="ListLabel 232"/>
    <w:qFormat/>
    <w:rPr>
      <w:rFonts w:cs="OpenSymbol"/>
      <w:b/>
      <w:bCs/>
    </w:rPr>
  </w:style>
  <w:style w:type="character" w:styleId="ListLabel233">
    <w:name w:val="ListLabel 233"/>
    <w:qFormat/>
    <w:rPr>
      <w:rFonts w:cs="OpenSymbol"/>
      <w:b/>
      <w:bCs/>
    </w:rPr>
  </w:style>
  <w:style w:type="character" w:styleId="ListLabel234">
    <w:name w:val="ListLabel 234"/>
    <w:qFormat/>
    <w:rPr>
      <w:rFonts w:cs="OpenSymbol"/>
      <w:b/>
      <w:bCs/>
    </w:rPr>
  </w:style>
  <w:style w:type="character" w:styleId="ListLabel235">
    <w:name w:val="ListLabel 235"/>
    <w:qFormat/>
    <w:rPr>
      <w:rFonts w:cs="OpenSymbol"/>
      <w:b/>
      <w:bCs/>
    </w:rPr>
  </w:style>
  <w:style w:type="character" w:styleId="ListLabel236">
    <w:name w:val="ListLabel 236"/>
    <w:qFormat/>
    <w:rPr>
      <w:rFonts w:cs="OpenSymbol"/>
      <w:b/>
      <w:bCs/>
    </w:rPr>
  </w:style>
  <w:style w:type="character" w:styleId="ListLabel237">
    <w:name w:val="ListLabel 237"/>
    <w:qFormat/>
    <w:rPr>
      <w:rFonts w:ascii="Arial" w:hAnsi="Arial" w:cs="OpenSymbol"/>
      <w:sz w:val="22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  <w:b w:val="false"/>
      <w:bCs/>
    </w:rPr>
  </w:style>
  <w:style w:type="character" w:styleId="ListLabel247">
    <w:name w:val="ListLabel 247"/>
    <w:qFormat/>
    <w:rPr>
      <w:rFonts w:cs="OpenSymbol"/>
      <w:b/>
      <w:bCs/>
    </w:rPr>
  </w:style>
  <w:style w:type="character" w:styleId="ListLabel248">
    <w:name w:val="ListLabel 248"/>
    <w:qFormat/>
    <w:rPr>
      <w:rFonts w:cs="OpenSymbol"/>
      <w:b/>
      <w:bCs/>
    </w:rPr>
  </w:style>
  <w:style w:type="character" w:styleId="ListLabel249">
    <w:name w:val="ListLabel 249"/>
    <w:qFormat/>
    <w:rPr>
      <w:rFonts w:cs="OpenSymbol"/>
      <w:b/>
      <w:bCs/>
    </w:rPr>
  </w:style>
  <w:style w:type="character" w:styleId="ListLabel250">
    <w:name w:val="ListLabel 250"/>
    <w:qFormat/>
    <w:rPr>
      <w:rFonts w:cs="OpenSymbol"/>
      <w:b/>
      <w:bCs/>
    </w:rPr>
  </w:style>
  <w:style w:type="character" w:styleId="ListLabel251">
    <w:name w:val="ListLabel 251"/>
    <w:qFormat/>
    <w:rPr>
      <w:rFonts w:cs="OpenSymbol"/>
      <w:b/>
      <w:bCs/>
    </w:rPr>
  </w:style>
  <w:style w:type="character" w:styleId="ListLabel252">
    <w:name w:val="ListLabel 252"/>
    <w:qFormat/>
    <w:rPr>
      <w:rFonts w:cs="OpenSymbol"/>
      <w:b/>
      <w:bCs/>
    </w:rPr>
  </w:style>
  <w:style w:type="character" w:styleId="ListLabel253">
    <w:name w:val="ListLabel 253"/>
    <w:qFormat/>
    <w:rPr>
      <w:rFonts w:cs="OpenSymbol"/>
      <w:b/>
      <w:bCs/>
    </w:rPr>
  </w:style>
  <w:style w:type="character" w:styleId="ListLabel254">
    <w:name w:val="ListLabel 254"/>
    <w:qFormat/>
    <w:rPr>
      <w:rFonts w:cs="OpenSymbol"/>
      <w:b/>
      <w:bCs/>
    </w:rPr>
  </w:style>
  <w:style w:type="character" w:styleId="ListLabel255">
    <w:name w:val="ListLabel 255"/>
    <w:qFormat/>
    <w:rPr>
      <w:rFonts w:cs="OpenSymbol"/>
      <w:b/>
      <w:bCs/>
    </w:rPr>
  </w:style>
  <w:style w:type="character" w:styleId="ListLabel256">
    <w:name w:val="ListLabel 256"/>
    <w:qFormat/>
    <w:rPr>
      <w:rFonts w:cs="OpenSymbol"/>
      <w:b/>
      <w:bCs/>
    </w:rPr>
  </w:style>
  <w:style w:type="character" w:styleId="ListLabel257">
    <w:name w:val="ListLabel 257"/>
    <w:qFormat/>
    <w:rPr>
      <w:rFonts w:cs="OpenSymbol"/>
      <w:b/>
      <w:bCs/>
    </w:rPr>
  </w:style>
  <w:style w:type="character" w:styleId="ListLabel258">
    <w:name w:val="ListLabel 258"/>
    <w:qFormat/>
    <w:rPr>
      <w:rFonts w:cs="OpenSymbol"/>
      <w:b/>
      <w:bCs/>
    </w:rPr>
  </w:style>
  <w:style w:type="character" w:styleId="ListLabel259">
    <w:name w:val="ListLabel 259"/>
    <w:qFormat/>
    <w:rPr>
      <w:rFonts w:cs="OpenSymbol"/>
      <w:b/>
      <w:bCs/>
    </w:rPr>
  </w:style>
  <w:style w:type="character" w:styleId="ListLabel260">
    <w:name w:val="ListLabel 260"/>
    <w:qFormat/>
    <w:rPr>
      <w:rFonts w:cs="OpenSymbol"/>
      <w:b/>
      <w:bCs/>
    </w:rPr>
  </w:style>
  <w:style w:type="character" w:styleId="ListLabel261">
    <w:name w:val="ListLabel 261"/>
    <w:qFormat/>
    <w:rPr>
      <w:rFonts w:cs="OpenSymbol"/>
      <w:b/>
      <w:bCs/>
    </w:rPr>
  </w:style>
  <w:style w:type="character" w:styleId="ListLabel262">
    <w:name w:val="ListLabel 262"/>
    <w:qFormat/>
    <w:rPr>
      <w:rFonts w:cs="OpenSymbol"/>
      <w:b/>
      <w:bCs/>
    </w:rPr>
  </w:style>
  <w:style w:type="character" w:styleId="ListLabel263">
    <w:name w:val="ListLabel 263"/>
    <w:qFormat/>
    <w:rPr>
      <w:rFonts w:cs="OpenSymbol"/>
      <w:b/>
      <w:bCs/>
    </w:rPr>
  </w:style>
  <w:style w:type="character" w:styleId="ListLabel264">
    <w:name w:val="ListLabel 264"/>
    <w:qFormat/>
    <w:rPr>
      <w:rFonts w:cs="OpenSymbol"/>
      <w:b w:val="false"/>
      <w:bCs/>
      <w:sz w:val="22"/>
    </w:rPr>
  </w:style>
  <w:style w:type="character" w:styleId="ListLabel265">
    <w:name w:val="ListLabel 265"/>
    <w:qFormat/>
    <w:rPr>
      <w:rFonts w:cs="OpenSymbol"/>
      <w:b/>
      <w:bCs/>
    </w:rPr>
  </w:style>
  <w:style w:type="character" w:styleId="ListLabel266">
    <w:name w:val="ListLabel 266"/>
    <w:qFormat/>
    <w:rPr>
      <w:rFonts w:cs="OpenSymbol"/>
      <w:b/>
      <w:bCs/>
    </w:rPr>
  </w:style>
  <w:style w:type="character" w:styleId="ListLabel267">
    <w:name w:val="ListLabel 267"/>
    <w:qFormat/>
    <w:rPr>
      <w:rFonts w:cs="OpenSymbol"/>
      <w:b/>
      <w:bCs/>
    </w:rPr>
  </w:style>
  <w:style w:type="character" w:styleId="ListLabel268">
    <w:name w:val="ListLabel 268"/>
    <w:qFormat/>
    <w:rPr>
      <w:rFonts w:cs="OpenSymbol"/>
      <w:b/>
      <w:bCs/>
    </w:rPr>
  </w:style>
  <w:style w:type="character" w:styleId="ListLabel269">
    <w:name w:val="ListLabel 269"/>
    <w:qFormat/>
    <w:rPr>
      <w:rFonts w:cs="OpenSymbol"/>
      <w:b/>
      <w:bCs/>
    </w:rPr>
  </w:style>
  <w:style w:type="character" w:styleId="ListLabel270">
    <w:name w:val="ListLabel 270"/>
    <w:qFormat/>
    <w:rPr>
      <w:rFonts w:cs="OpenSymbol"/>
      <w:b/>
      <w:bCs/>
    </w:rPr>
  </w:style>
  <w:style w:type="character" w:styleId="ListLabel271">
    <w:name w:val="ListLabel 271"/>
    <w:qFormat/>
    <w:rPr>
      <w:rFonts w:cs="OpenSymbol"/>
      <w:b/>
      <w:bCs/>
    </w:rPr>
  </w:style>
  <w:style w:type="character" w:styleId="ListLabel272">
    <w:name w:val="ListLabel 272"/>
    <w:qFormat/>
    <w:rPr>
      <w:rFonts w:cs="OpenSymbol"/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04bc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f103d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testazione">
    <w:name w:val="Header"/>
    <w:basedOn w:val="Normal"/>
    <w:link w:val="IntestazioneCarattere"/>
    <w:uiPriority w:val="99"/>
    <w:unhideWhenUsed/>
    <w:rsid w:val="00c8724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8724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872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en-US" w:bidi="en-US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numbering" w:styleId="WW8Num2">
    <w:name w:val="WW8Num2"/>
    <w:qFormat/>
  </w:style>
  <w:style w:type="numbering" w:styleId="WW8Num37">
    <w:name w:val="WW8Num37"/>
    <w:qFormat/>
  </w:style>
  <w:style w:type="numbering" w:styleId="WW8Num4">
    <w:name w:val="WW8Num4"/>
    <w:qFormat/>
  </w:style>
  <w:style w:type="numbering" w:styleId="WW8Num10">
    <w:name w:val="WW8Num10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016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sal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Application>LibreOffice/5.4.6.2$Windows_X86_64 LibreOffice_project/4014ce260a04f1026ba855d3b8d91541c224eab8</Application>
  <Pages>2</Pages>
  <Words>672</Words>
  <Characters>3821</Characters>
  <CharactersWithSpaces>4439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2019-09-16T21:00:00Z</dcterms:created>
  <dc:creator>Dell</dc:creator>
  <dc:description/>
  <dc:language>it-IT</dc:language>
  <cp:lastModifiedBy/>
  <cp:lastPrinted>2021-05-06T13:03:19Z</cp:lastPrinted>
  <dcterms:modified xsi:type="dcterms:W3CDTF">2021-05-06T16:34:42Z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