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259"/>
        <w:gridCol w:w="3259"/>
        <w:gridCol w:w="3260"/>
      </w:tblGrid>
      <w:tr>
        <w:trPr>
          <w:trHeight w:val="1650" w:hRule="auto"/>
          <w:jc w:val="left"/>
        </w:trPr>
        <w:tc>
          <w:tcPr>
            <w:tcW w:w="3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object w:dxaOrig="1484" w:dyaOrig="1560">
                <v:rect xmlns:o="urn:schemas-microsoft-com:office:office" xmlns:v="urn:schemas-microsoft-com:vml" id="rectole0000000000" style="width:74.200000pt;height:78.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32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Determinazione Dirigenziale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Settore Politiche Sociali</w:t>
      </w:r>
    </w:p>
    <w:p>
      <w:pPr>
        <w:spacing w:before="0" w:after="0" w:line="240"/>
        <w:ind w:right="0" w:left="0" w:firstLine="0"/>
        <w:jc w:val="center"/>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Disabili</w:t>
      </w:r>
    </w:p>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tbl>
      <w:tblPr/>
      <w:tblGrid>
        <w:gridCol w:w="1204"/>
        <w:gridCol w:w="8574"/>
      </w:tblGrid>
      <w:tr>
        <w:trPr>
          <w:trHeight w:val="1" w:hRule="atLeast"/>
          <w:jc w:val="left"/>
        </w:trPr>
        <w:tc>
          <w:tcPr>
            <w:tcW w:w="120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both"/>
              <w:rPr>
                <w:color w:val="auto"/>
                <w:spacing w:val="0"/>
                <w:position w:val="0"/>
                <w:shd w:fill="auto" w:val="clear"/>
              </w:rPr>
            </w:pPr>
            <w:r>
              <w:rPr>
                <w:rFonts w:ascii="Tahoma" w:hAnsi="Tahoma" w:cs="Tahoma" w:eastAsia="Tahoma"/>
                <w:b/>
                <w:color w:val="auto"/>
                <w:spacing w:val="0"/>
                <w:position w:val="0"/>
                <w:sz w:val="20"/>
                <w:shd w:fill="auto" w:val="clear"/>
              </w:rPr>
              <w:t xml:space="preserve">Oggetto:</w:t>
            </w:r>
          </w:p>
        </w:tc>
        <w:tc>
          <w:tcPr>
            <w:tcW w:w="857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ahoma" w:hAnsi="Tahoma" w:cs="Tahoma" w:eastAsia="Tahoma"/>
                <w:b/>
                <w:color w:val="auto"/>
                <w:spacing w:val="0"/>
                <w:position w:val="0"/>
                <w:sz w:val="20"/>
                <w:shd w:fill="auto" w:val="clear"/>
              </w:rPr>
              <w:t xml:space="preserve">SERVIZIO MOBILITA'INDIVIDUALE PER PERSONE DISABILI - MANIFESTAZIONE DI INTERESSE ALL'INSERIMENTO NELL'ELENCO PREDISPOSTO DAL COMUNE DI SALERNO--APPROVAZIONE AVVISO E DOMANDA</w:t>
            </w: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il dirigente</w:t>
      </w:r>
    </w:p>
    <w:p>
      <w:pPr>
        <w:spacing w:before="0" w:after="0" w:line="240"/>
        <w:ind w:right="0" w:left="0" w:firstLine="0"/>
        <w:jc w:val="both"/>
        <w:rPr>
          <w:rFonts w:ascii="Calibri" w:hAnsi="Calibri" w:cs="Calibri" w:eastAsia="Calibri"/>
          <w:color w:val="auto"/>
          <w:spacing w:val="0"/>
          <w:position w:val="0"/>
          <w:sz w:val="22"/>
          <w:shd w:fill="auto" w:val="clear"/>
        </w:rPr>
      </w:pPr>
    </w:p>
    <w:p>
      <w:pPr>
        <w:tabs>
          <w:tab w:val="left" w:pos="396"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Premesso che</w:t>
      </w:r>
    </w:p>
    <w:p>
      <w:pPr>
        <w:numPr>
          <w:ilvl w:val="0"/>
          <w:numId w:val="17"/>
        </w:numPr>
        <w:tabs>
          <w:tab w:val="left" w:pos="0" w:leader="none"/>
        </w:tabs>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Regione Campania ha definito i principi di indirizzo e coordinamento per la realizzazione da parte degli Enti Locali associati del sistema integrato di interventi e servizi a garanzia della qualità della vita e dei diritti di cittadinanza secondo gli indirizzi previsti dalla L.R. 11/07;</w:t>
      </w:r>
    </w:p>
    <w:p>
      <w:pPr>
        <w:numPr>
          <w:ilvl w:val="0"/>
          <w:numId w:val="17"/>
        </w:numPr>
        <w:tabs>
          <w:tab w:val="left" w:pos="0" w:leader="none"/>
        </w:tabs>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Giunta Comunale con delibera n. 173 del 12/02/2010, esecutiva ai sensi di legge, ha stabilito di realizzare il servizio di mobilità individuale per le persone diversamente abili, erogando buoni servizi – voucher in favore dei cittadini che hanno difficoltà ad utilizzare il trasporto pubblico;</w:t>
      </w:r>
    </w:p>
    <w:p>
      <w:pPr>
        <w:numPr>
          <w:ilvl w:val="0"/>
          <w:numId w:val="17"/>
        </w:numPr>
        <w:tabs>
          <w:tab w:val="left" w:pos="0" w:leader="none"/>
        </w:tabs>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che gli aventi diritto al servizio alle prestazioni potranno scegliere da un elenco, i tassisti e/o noleggiatori muniti di licenza o autorizzazioni di esercizio accreditati che erogano tale tipologia di servizio;</w:t>
      </w:r>
    </w:p>
    <w:p>
      <w:pPr>
        <w:tabs>
          <w:tab w:val="left" w:pos="0" w:leader="none"/>
        </w:tabs>
        <w:spacing w:before="0" w:after="0" w:line="240"/>
        <w:ind w:right="0" w:left="720" w:firstLine="0"/>
        <w:jc w:val="both"/>
        <w:rPr>
          <w:rFonts w:ascii="Calibri" w:hAnsi="Calibri" w:cs="Calibri" w:eastAsia="Calibri"/>
          <w:color w:val="auto"/>
          <w:spacing w:val="0"/>
          <w:position w:val="0"/>
          <w:sz w:val="22"/>
          <w:shd w:fill="auto" w:val="clear"/>
        </w:rPr>
      </w:pP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Dato atto</w:t>
      </w:r>
      <w:r>
        <w:rPr>
          <w:rFonts w:ascii="Arial" w:hAnsi="Arial" w:cs="Arial" w:eastAsia="Arial"/>
          <w:color w:val="000000"/>
          <w:spacing w:val="0"/>
          <w:position w:val="0"/>
          <w:sz w:val="20"/>
          <w:shd w:fill="auto" w:val="clear"/>
        </w:rPr>
        <w:t xml:space="preserve"> che, con la citata deliberazione della Giunta Comunale n. 173 del 12/02/2010,  è stato deliberato che:</w:t>
      </w: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i cittadini disabili aventi diritto saranno ammessi al servizio trasporto a mezzo taxi o autonoleggiatore con conducente, su proposta dei segretariati;</w:t>
      </w: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ai suddetti cittadini saranno assegnati blocchetti nominativi di buoni servizio, da un minimo di 6 (sei) ad un massimo di 20 (venti) buoni mensili per un massimo di 240 trasporti annuali;</w:t>
      </w: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il disabile potrà farsi accompagnare da uno o due accompagnatori senza costi aggiuntivi;</w:t>
      </w: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il prezzo di ogni corsa individuale, a chiamata, viene determinato in € 12,00 per la corsa individuale da effettuarsi nel centro città, ed in € 15,00 da effettuarsi nelle zone periferiche (S. Leonardo, Fuorni) e nei rioni collinari (Ogliara, Matierno, Cappelle, Giovi, Croce, Sordina, Pastorano; Rufoli, Brignano);</w:t>
      </w: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la misura degli importi tiene conto delle seguenti prestazioni aggiuntive che saranno garantite unitamente alla prestazione principale (corsa nel centro città o in zone periferiche e collinari):</w:t>
      </w:r>
    </w:p>
    <w:p>
      <w:pPr>
        <w:numPr>
          <w:ilvl w:val="0"/>
          <w:numId w:val="20"/>
        </w:numPr>
        <w:tabs>
          <w:tab w:val="left" w:pos="0" w:leader="none"/>
        </w:tabs>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 servizio sarà attivo anche nei giorni festivi (ad esclusione delle festività solenni – Natale e Pasqua);</w:t>
      </w:r>
    </w:p>
    <w:p>
      <w:pPr>
        <w:numPr>
          <w:ilvl w:val="0"/>
          <w:numId w:val="20"/>
        </w:numPr>
        <w:tabs>
          <w:tab w:val="left" w:pos="0" w:leader="none"/>
        </w:tabs>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 servizio si svolgerà a chiamata e non su prenotazione;</w:t>
      </w:r>
    </w:p>
    <w:p>
      <w:pPr>
        <w:numPr>
          <w:ilvl w:val="0"/>
          <w:numId w:val="20"/>
        </w:numPr>
        <w:tabs>
          <w:tab w:val="left" w:pos="0" w:leader="none"/>
        </w:tabs>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l’operatore (tassista o noleggiatore) che effettuerà il servizio, ove necessario, fornirà supporto nella compilazione del ticket che verrà utilizzato per la corsa;</w:t>
      </w: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gli utenti del trasporto individuale, comparteciperanno alla spesa secondo i criteri per la determinazione del reddito convenzionale, di cui alla delibera C.C. n. 35 del 07/06/1999;</w:t>
      </w:r>
    </w:p>
    <w:p>
      <w:p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0" w:leader="none"/>
        </w:tabs>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Ritenuto</w:t>
      </w:r>
      <w:r>
        <w:rPr>
          <w:rFonts w:ascii="Arial" w:hAnsi="Arial" w:cs="Arial" w:eastAsia="Arial"/>
          <w:color w:val="000000"/>
          <w:spacing w:val="0"/>
          <w:position w:val="0"/>
          <w:sz w:val="20"/>
          <w:shd w:fill="auto" w:val="clear"/>
        </w:rPr>
        <w:t xml:space="preserve">, pertanto, necessario aggiornare tramite pubblicazione di manifestazione d’interesse, un elenco dei soggetti che si rendono disponibili ad effettuare il servizio di mobilità individuale per persone diversamente abili alle condizioni sopra richiamate, approvando a tal fine l’Avviso pubblico con il relativo modello di manifestazione di interesse (allegato A), che del presente atto forma parte integrante.</w:t>
      </w:r>
    </w:p>
    <w:p>
      <w:p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Visti</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 Statuto dell'Ente</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 Regolamento di Contabilità dell'Ente</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Legge  328/2000</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Legge Regionale 11/2007</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 Testo Unico degli Enti Locali 267/2000 e in particolare gli artt. 107, 169 e 184 ;</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Legge 136/2010 in materia di tracciabilità dei flussi finanziari</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 Regolamento Regionale n. 4/ 2014 attuativo della L. reg. n. 11/2007;</w:t>
      </w:r>
    </w:p>
    <w:p>
      <w:pPr>
        <w:numPr>
          <w:ilvl w:val="0"/>
          <w:numId w:val="23"/>
        </w:numPr>
        <w:spacing w:before="0" w:after="0" w:line="240"/>
        <w:ind w:right="0" w:left="720"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 Regolamento UE n. 679/2016 ( garante privacy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Dare atto</w:t>
      </w:r>
      <w:r>
        <w:rPr>
          <w:rFonts w:ascii="Arial" w:hAnsi="Arial" w:cs="Arial" w:eastAsia="Arial"/>
          <w:color w:val="000000"/>
          <w:spacing w:val="0"/>
          <w:position w:val="0"/>
          <w:sz w:val="20"/>
          <w:shd w:fill="auto" w:val="clear"/>
        </w:rPr>
        <w:t xml:space="preserve"> che ai sensi della L. 241/90 il responsabile del procedimento è l’ Istruttore Amministrativo sig.ra  Carmela Minoliti;</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Vista</w:t>
      </w:r>
      <w:r>
        <w:rPr>
          <w:rFonts w:ascii="Arial" w:hAnsi="Arial" w:cs="Arial" w:eastAsia="Arial"/>
          <w:color w:val="000000"/>
          <w:spacing w:val="0"/>
          <w:position w:val="0"/>
          <w:sz w:val="20"/>
          <w:shd w:fill="auto" w:val="clear"/>
        </w:rPr>
        <w:t xml:space="preserve"> la documentazione agli atti;</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Riscontrata</w:t>
      </w:r>
      <w:r>
        <w:rPr>
          <w:rFonts w:ascii="Arial" w:hAnsi="Arial" w:cs="Arial" w:eastAsia="Arial"/>
          <w:color w:val="000000"/>
          <w:spacing w:val="0"/>
          <w:position w:val="0"/>
          <w:sz w:val="20"/>
          <w:shd w:fill="auto" w:val="clear"/>
        </w:rPr>
        <w:t xml:space="preserve"> la regolarità del procedimento;</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Ritenuto</w:t>
      </w:r>
      <w:r>
        <w:rPr>
          <w:rFonts w:ascii="Arial" w:hAnsi="Arial" w:cs="Arial" w:eastAsia="Arial"/>
          <w:color w:val="000000"/>
          <w:spacing w:val="0"/>
          <w:position w:val="0"/>
          <w:sz w:val="20"/>
          <w:shd w:fill="auto" w:val="clear"/>
        </w:rPr>
        <w:t xml:space="preserve"> di dover adottare provvedimenti in merito ;</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Dato atto che</w:t>
      </w:r>
      <w:r>
        <w:rPr>
          <w:rFonts w:ascii="Arial" w:hAnsi="Arial" w:cs="Arial" w:eastAsia="Arial"/>
          <w:color w:val="000000"/>
          <w:spacing w:val="0"/>
          <w:position w:val="0"/>
          <w:sz w:val="20"/>
          <w:shd w:fill="auto" w:val="clear"/>
        </w:rPr>
        <w:t xml:space="preserve"> con la firma della determinazione si attesta la regolarità tecnico-amministrativa del provvedimento ai sensi dell’art. 147 bis del D.Lgs n. 267/2000.</w:t>
      </w:r>
    </w:p>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0" w:leader="none"/>
        </w:tabs>
        <w:spacing w:before="0" w:after="0" w:line="240"/>
        <w:ind w:right="0"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DETERMINA</w:t>
      </w:r>
    </w:p>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0"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Per i motivi espressi in narrativa, che qui si intendono integralmente richiamati :</w:t>
      </w:r>
    </w:p>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p>
      <w:pPr>
        <w:numPr>
          <w:ilvl w:val="0"/>
          <w:numId w:val="28"/>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Prendere atto di quanto stabilito dalla G.C. n. 173 del 12/02/2010 che indica le linee guida per garantire ai diversamente abili che hanno difficoltà a servirsi dei mezzi pubblici per le barriere ivi esistenti di varia natura, di muoversi liberamente ricorrendo al servizio taxi, scegliendo i tassisti e noleggiatori con conducente iscritti in uno elenco predisposto dal Comune di Salerno, attraverso l’uso dei voucher;</w:t>
      </w:r>
    </w:p>
    <w:p>
      <w:pPr>
        <w:numPr>
          <w:ilvl w:val="0"/>
          <w:numId w:val="28"/>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Costituire, pertanto, tramite una manifestazione d’interesse, un elenco di soggetti (taxisti o noleggiatori) disponibili a rendere il servizio alle condizioni e costi indicati in premessa, approvando, a tal fine, l’Avviso pubblico con il relativo modello di manifestazione di interesse (allegato A), che del presente atto forma parte integrante.</w:t>
      </w:r>
    </w:p>
    <w:p>
      <w:pPr>
        <w:numPr>
          <w:ilvl w:val="0"/>
          <w:numId w:val="28"/>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 stabilire la scadenza della presentazione della manifestazione d’interesse per le ore 12.00 del giorno 17/06/2022;</w:t>
      </w:r>
    </w:p>
    <w:p>
      <w:pPr>
        <w:numPr>
          <w:ilvl w:val="0"/>
          <w:numId w:val="28"/>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Dare atto che il Responsabile del procedimento è l’ Istruttore Amministrativo Sig.ra Carmela Minoliti;</w:t>
      </w:r>
    </w:p>
    <w:p>
      <w:pPr>
        <w:numPr>
          <w:ilvl w:val="0"/>
          <w:numId w:val="28"/>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Impegnare la spesa presunta di € 140.000,00 a valere sul capitolo n. 1513002 art.6 del Bilancio di Previsione 2022/2024 – esercizio provvisorio 2022, a titolo di rimborso dei buoni voucher erogati ai cittadini diversamente abili che usufruiscono del servizio di mobilità individuale;</w:t>
      </w:r>
    </w:p>
    <w:p>
      <w:pPr>
        <w:numPr>
          <w:ilvl w:val="0"/>
          <w:numId w:val="28"/>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Disporre la pubblicazione del presente atto:</w:t>
      </w:r>
    </w:p>
    <w:p>
      <w:pPr>
        <w:spacing w:before="100" w:after="0" w:line="240"/>
        <w:ind w:right="0" w:left="776"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all’ALBO Pretorio on line del Comune di Salerno;</w:t>
      </w:r>
    </w:p>
    <w:p>
      <w:pPr>
        <w:spacing w:before="100" w:after="0" w:line="240"/>
        <w:ind w:right="0" w:left="776"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sul sito istituzionale del Comune di Salerno;</w:t>
      </w:r>
    </w:p>
    <w:p>
      <w:pPr>
        <w:spacing w:before="100" w:after="0" w:line="240"/>
        <w:ind w:right="0" w:left="776"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in Amministrazione trasparente, sezione Provvedimenti, sottosezione Provvedimenti dirigenti amministrativi, ai sensi dell’art.23, comma 1, del D.Lgs. n. 33/2013 e s.m.i.;</w:t>
      </w:r>
    </w:p>
    <w:p>
      <w:pPr>
        <w:spacing w:before="100" w:after="0" w:line="240"/>
        <w:ind w:right="0" w:left="776"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in Amministrazione trasparente – sezione – Bandi di gara e contratti, ai sensi dell’art. 37,comma 1,lett.b) del D.L.gs n. 33/2013 e s.m.i. ;</w:t>
      </w:r>
    </w:p>
    <w:p>
      <w:pPr>
        <w:spacing w:before="100" w:after="0" w:line="240"/>
        <w:ind w:right="0" w:left="776"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sul sito web dell’Ambito S5, consultabile all’indirizzo: </w:t>
      </w:r>
      <w:hyperlink xmlns:r="http://schemas.openxmlformats.org/officeDocument/2006/relationships" r:id="docRId2">
        <w:r>
          <w:rPr>
            <w:rFonts w:ascii="Arial" w:hAnsi="Arial" w:cs="Arial" w:eastAsia="Arial"/>
            <w:color w:val="000000"/>
            <w:spacing w:val="0"/>
            <w:position w:val="0"/>
            <w:sz w:val="20"/>
            <w:u w:val="single"/>
            <w:shd w:fill="auto" w:val="clear"/>
          </w:rPr>
          <w:t xml:space="preserve">www.pianosociale5.it</w:t>
        </w:r>
      </w:hyperlink>
      <w:r>
        <w:rPr>
          <w:rFonts w:ascii="Arial" w:hAnsi="Arial" w:cs="Arial" w:eastAsia="Arial"/>
          <w:color w:val="000000"/>
          <w:spacing w:val="0"/>
          <w:position w:val="0"/>
          <w:sz w:val="20"/>
          <w:shd w:fill="auto" w:val="clear"/>
        </w:rPr>
        <w:t xml:space="preserve">.</w:t>
      </w:r>
    </w:p>
    <w:p>
      <w:pPr>
        <w:numPr>
          <w:ilvl w:val="0"/>
          <w:numId w:val="30"/>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 trasmettere copia del presente provvedimento all’Ufficio di Piano dell’Ambito S5 affinché provveda alla trasmissione dell’allegata manifestazione d’interesse ai Comuni dell’Ambito S5.</w:t>
      </w:r>
    </w:p>
    <w:p>
      <w:pPr>
        <w:numPr>
          <w:ilvl w:val="0"/>
          <w:numId w:val="30"/>
        </w:numPr>
        <w:spacing w:before="100" w:after="0" w:line="240"/>
        <w:ind w:right="0" w:left="776" w:hanging="36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Copia della presente viene inoltrata al Settore Ragioneria per quanto di competenza.</w:t>
      </w:r>
    </w:p>
    <w:p>
      <w:pPr>
        <w:spacing w:before="100" w:after="0" w:line="240"/>
        <w:ind w:right="0" w:left="776" w:firstLine="0"/>
        <w:jc w:val="both"/>
        <w:rPr>
          <w:rFonts w:ascii="Calibri" w:hAnsi="Calibri" w:cs="Calibri" w:eastAsia="Calibri"/>
          <w:color w:val="auto"/>
          <w:spacing w:val="0"/>
          <w:position w:val="0"/>
          <w:sz w:val="22"/>
          <w:shd w:fill="auto" w:val="clear"/>
        </w:rPr>
      </w:pPr>
    </w:p>
    <w:p>
      <w:pPr>
        <w:tabs>
          <w:tab w:val="left" w:pos="396" w:leader="none"/>
        </w:tabs>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4889"/>
        <w:gridCol w:w="4889"/>
      </w:tblGrid>
      <w:tr>
        <w:trPr>
          <w:trHeight w:val="1" w:hRule="atLeast"/>
          <w:jc w:val="left"/>
        </w:trPr>
        <w:tc>
          <w:tcPr>
            <w:tcW w:w="488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88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il dirigente </w:t>
            </w:r>
          </w:p>
        </w:tc>
      </w:tr>
      <w:tr>
        <w:trPr>
          <w:trHeight w:val="1" w:hRule="atLeast"/>
          <w:jc w:val="left"/>
        </w:trPr>
        <w:tc>
          <w:tcPr>
            <w:tcW w:w="488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88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b/>
                <w:color w:val="auto"/>
                <w:spacing w:val="0"/>
                <w:position w:val="0"/>
                <w:sz w:val="20"/>
                <w:shd w:fill="auto" w:val="clear"/>
              </w:rPr>
              <w:t xml:space="preserve">Dott. Giuliano Caso</w:t>
            </w:r>
          </w:p>
        </w:tc>
      </w:tr>
    </w:tbl>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7">
    <w:abstractNumId w:val="24"/>
  </w:num>
  <w:num w:numId="20">
    <w:abstractNumId w:val="18"/>
  </w:num>
  <w:num w:numId="23">
    <w:abstractNumId w:val="12"/>
  </w:num>
  <w:num w:numId="28">
    <w:abstractNumId w:val="6"/>
  </w:num>
  <w:num w:numId="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pianosociale5.it/" Id="docRId2" Type="http://schemas.openxmlformats.org/officeDocument/2006/relationships/hyperlink"/><Relationship Target="styles.xml" Id="docRId4" Type="http://schemas.openxmlformats.org/officeDocument/2006/relationships/styles"/></Relationships>
</file>